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DB5F2" w14:textId="77777777" w:rsidR="001B7B41" w:rsidRPr="008C2A11" w:rsidRDefault="001B7B41" w:rsidP="001B7B41">
      <w:pPr>
        <w:jc w:val="center"/>
        <w:rPr>
          <w:rFonts w:ascii="Aptos" w:hAnsi="Aptos" w:cs="Arial"/>
          <w:b/>
          <w:sz w:val="23"/>
          <w:szCs w:val="23"/>
          <w:u w:val="single"/>
        </w:rPr>
      </w:pPr>
      <w:r w:rsidRPr="008C2A11">
        <w:rPr>
          <w:rFonts w:ascii="Aptos" w:hAnsi="Aptos" w:cs="Arial"/>
          <w:b/>
          <w:sz w:val="23"/>
          <w:szCs w:val="23"/>
          <w:u w:val="single"/>
        </w:rPr>
        <w:t>Water Conservation Academic Instruction and Research</w:t>
      </w:r>
    </w:p>
    <w:p w14:paraId="7FD9BF81" w14:textId="77777777" w:rsidR="001B7B41" w:rsidRPr="008C2A11" w:rsidRDefault="001B7B41" w:rsidP="00232636">
      <w:pPr>
        <w:rPr>
          <w:rFonts w:ascii="Aptos" w:hAnsi="Aptos" w:cs="Arial"/>
          <w:b/>
          <w:sz w:val="23"/>
          <w:szCs w:val="23"/>
          <w:u w:val="single"/>
        </w:rPr>
      </w:pPr>
    </w:p>
    <w:p w14:paraId="5F94B9B6" w14:textId="77777777" w:rsidR="00F40503" w:rsidRPr="008C2A11" w:rsidRDefault="00F40503" w:rsidP="00232636">
      <w:pPr>
        <w:pStyle w:val="Caption"/>
        <w:rPr>
          <w:rFonts w:ascii="Aptos" w:hAnsi="Aptos" w:cs="Arial"/>
          <w:b/>
          <w:color w:val="auto"/>
          <w:sz w:val="23"/>
          <w:szCs w:val="23"/>
          <w:u w:val="single"/>
        </w:rPr>
      </w:pPr>
      <w:r w:rsidRPr="008C2A11">
        <w:rPr>
          <w:rFonts w:ascii="Aptos" w:hAnsi="Aptos" w:cs="Arial"/>
          <w:b/>
          <w:color w:val="auto"/>
          <w:sz w:val="23"/>
          <w:szCs w:val="23"/>
          <w:u w:val="single"/>
        </w:rPr>
        <w:t>The Problem</w:t>
      </w:r>
    </w:p>
    <w:p w14:paraId="67A57313" w14:textId="77777777" w:rsidR="00232636" w:rsidRPr="008C2A11" w:rsidRDefault="001B7B41" w:rsidP="00232636">
      <w:pPr>
        <w:pStyle w:val="Caption"/>
        <w:rPr>
          <w:rFonts w:ascii="Aptos" w:hAnsi="Aptos" w:cs="Arial"/>
          <w:i w:val="0"/>
          <w:color w:val="auto"/>
          <w:sz w:val="23"/>
          <w:szCs w:val="23"/>
        </w:rPr>
      </w:pPr>
      <w:r w:rsidRPr="008C2A11">
        <w:rPr>
          <w:rFonts w:ascii="Aptos" w:hAnsi="Aptos" w:cs="Arial"/>
          <w:i w:val="0"/>
          <w:color w:val="auto"/>
          <w:sz w:val="23"/>
          <w:szCs w:val="23"/>
        </w:rPr>
        <w:t xml:space="preserve">Municipal water demand is projected to increase significantly over the next fifty years.  </w:t>
      </w:r>
      <w:r w:rsidR="00232636" w:rsidRPr="008C2A11">
        <w:rPr>
          <w:rFonts w:ascii="Aptos" w:hAnsi="Aptos" w:cs="Arial"/>
          <w:i w:val="0"/>
          <w:color w:val="auto"/>
          <w:sz w:val="23"/>
          <w:szCs w:val="23"/>
        </w:rPr>
        <w:t xml:space="preserve">The Texas Water Development Board (TWDB) defines municipal </w:t>
      </w:r>
      <w:proofErr w:type="gramStart"/>
      <w:r w:rsidR="00232636" w:rsidRPr="008C2A11">
        <w:rPr>
          <w:rFonts w:ascii="Aptos" w:hAnsi="Aptos" w:cs="Arial"/>
          <w:i w:val="0"/>
          <w:color w:val="auto"/>
          <w:sz w:val="23"/>
          <w:szCs w:val="23"/>
        </w:rPr>
        <w:t>use</w:t>
      </w:r>
      <w:proofErr w:type="gramEnd"/>
      <w:r w:rsidR="00232636" w:rsidRPr="008C2A11">
        <w:rPr>
          <w:rFonts w:ascii="Aptos" w:hAnsi="Aptos" w:cs="Arial"/>
          <w:i w:val="0"/>
          <w:color w:val="auto"/>
          <w:sz w:val="23"/>
          <w:szCs w:val="23"/>
        </w:rPr>
        <w:t xml:space="preserve"> a use (Sales) to single family, commercial, multi-family, institutional and agricultural (primary plant sales) uses (Figure 1.).  As this shows, municipal use must receive </w:t>
      </w:r>
      <w:r w:rsidR="00525BCC" w:rsidRPr="008C2A11">
        <w:rPr>
          <w:rFonts w:ascii="Aptos" w:hAnsi="Aptos" w:cs="Arial"/>
          <w:i w:val="0"/>
          <w:color w:val="auto"/>
          <w:sz w:val="23"/>
          <w:szCs w:val="23"/>
        </w:rPr>
        <w:t>serious attention in the future.</w:t>
      </w:r>
    </w:p>
    <w:p w14:paraId="513C98B0" w14:textId="77777777" w:rsidR="001B7B41" w:rsidRPr="008C2A11" w:rsidRDefault="00232636" w:rsidP="00232636">
      <w:pPr>
        <w:pStyle w:val="Caption"/>
        <w:jc w:val="center"/>
        <w:rPr>
          <w:rFonts w:ascii="Aptos" w:hAnsi="Aptos" w:cs="Arial"/>
          <w:b/>
          <w:i w:val="0"/>
          <w:color w:val="auto"/>
          <w:sz w:val="23"/>
          <w:szCs w:val="23"/>
        </w:rPr>
      </w:pPr>
      <w:r w:rsidRPr="008C2A11">
        <w:rPr>
          <w:rFonts w:ascii="Aptos" w:hAnsi="Aptos" w:cs="Arial"/>
          <w:b/>
          <w:i w:val="0"/>
          <w:color w:val="auto"/>
          <w:sz w:val="23"/>
          <w:szCs w:val="23"/>
        </w:rPr>
        <w:t xml:space="preserve">Figure </w:t>
      </w:r>
      <w:r w:rsidRPr="008C2A11">
        <w:rPr>
          <w:rFonts w:ascii="Aptos" w:hAnsi="Aptos" w:cs="Arial"/>
          <w:b/>
          <w:i w:val="0"/>
          <w:color w:val="auto"/>
          <w:sz w:val="23"/>
          <w:szCs w:val="23"/>
        </w:rPr>
        <w:fldChar w:fldCharType="begin"/>
      </w:r>
      <w:r w:rsidRPr="008C2A11">
        <w:rPr>
          <w:rFonts w:ascii="Aptos" w:hAnsi="Aptos" w:cs="Arial"/>
          <w:b/>
          <w:i w:val="0"/>
          <w:color w:val="auto"/>
          <w:sz w:val="23"/>
          <w:szCs w:val="23"/>
        </w:rPr>
        <w:instrText xml:space="preserve"> SEQ Figure \* ARABIC </w:instrText>
      </w:r>
      <w:r w:rsidRPr="008C2A11">
        <w:rPr>
          <w:rFonts w:ascii="Aptos" w:hAnsi="Aptos" w:cs="Arial"/>
          <w:b/>
          <w:i w:val="0"/>
          <w:color w:val="auto"/>
          <w:sz w:val="23"/>
          <w:szCs w:val="23"/>
        </w:rPr>
        <w:fldChar w:fldCharType="separate"/>
      </w:r>
      <w:r w:rsidRPr="008C2A11">
        <w:rPr>
          <w:rFonts w:ascii="Aptos" w:hAnsi="Aptos" w:cs="Arial"/>
          <w:b/>
          <w:i w:val="0"/>
          <w:noProof/>
          <w:color w:val="auto"/>
          <w:sz w:val="23"/>
          <w:szCs w:val="23"/>
        </w:rPr>
        <w:t>1</w:t>
      </w:r>
      <w:r w:rsidRPr="008C2A11">
        <w:rPr>
          <w:rFonts w:ascii="Aptos" w:hAnsi="Aptos" w:cs="Arial"/>
          <w:b/>
          <w:i w:val="0"/>
          <w:color w:val="auto"/>
          <w:sz w:val="23"/>
          <w:szCs w:val="23"/>
        </w:rPr>
        <w:fldChar w:fldCharType="end"/>
      </w:r>
      <w:r w:rsidRPr="008C2A11">
        <w:rPr>
          <w:rFonts w:ascii="Aptos" w:hAnsi="Aptos" w:cs="Arial"/>
          <w:b/>
          <w:i w:val="0"/>
          <w:color w:val="auto"/>
          <w:sz w:val="23"/>
          <w:szCs w:val="23"/>
        </w:rPr>
        <w:t>. Projected Texas Water Use</w:t>
      </w:r>
    </w:p>
    <w:p w14:paraId="1CBA6A49" w14:textId="77777777" w:rsidR="00232636" w:rsidRPr="008C2A11" w:rsidRDefault="001B7B41" w:rsidP="00232636">
      <w:pPr>
        <w:keepNext/>
        <w:jc w:val="center"/>
        <w:rPr>
          <w:rFonts w:ascii="Aptos" w:hAnsi="Aptos"/>
          <w:sz w:val="23"/>
          <w:szCs w:val="23"/>
        </w:rPr>
      </w:pPr>
      <w:r w:rsidRPr="008C2A11">
        <w:rPr>
          <w:rFonts w:ascii="Aptos" w:hAnsi="Aptos" w:cs="Arial"/>
          <w:noProof/>
          <w:sz w:val="23"/>
          <w:szCs w:val="23"/>
        </w:rPr>
        <w:drawing>
          <wp:inline distT="0" distB="0" distL="0" distR="0" wp14:anchorId="18032DD4" wp14:editId="4D01C982">
            <wp:extent cx="4207552" cy="2528047"/>
            <wp:effectExtent l="19050" t="19050" r="2159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31162" cy="2542233"/>
                    </a:xfrm>
                    <a:prstGeom prst="rect">
                      <a:avLst/>
                    </a:prstGeom>
                    <a:ln w="25400">
                      <a:solidFill>
                        <a:schemeClr val="tx1"/>
                      </a:solidFill>
                    </a:ln>
                  </pic:spPr>
                </pic:pic>
              </a:graphicData>
            </a:graphic>
          </wp:inline>
        </w:drawing>
      </w:r>
    </w:p>
    <w:p w14:paraId="368C3DE6" w14:textId="77777777" w:rsidR="001B7B41" w:rsidRPr="00784035" w:rsidRDefault="00525BCC" w:rsidP="00232636">
      <w:pPr>
        <w:rPr>
          <w:rFonts w:ascii="Aptos" w:hAnsi="Aptos" w:cs="Arial"/>
          <w:sz w:val="20"/>
          <w:szCs w:val="20"/>
        </w:rPr>
      </w:pPr>
      <w:r w:rsidRPr="00784035">
        <w:rPr>
          <w:rFonts w:ascii="Aptos" w:hAnsi="Aptos" w:cs="Arial"/>
          <w:sz w:val="20"/>
          <w:szCs w:val="20"/>
        </w:rPr>
        <w:t xml:space="preserve">Figure </w:t>
      </w:r>
      <w:r w:rsidR="00F40503" w:rsidRPr="00784035">
        <w:rPr>
          <w:rFonts w:ascii="Aptos" w:hAnsi="Aptos" w:cs="Arial"/>
          <w:sz w:val="20"/>
          <w:szCs w:val="20"/>
        </w:rPr>
        <w:t>2</w:t>
      </w:r>
      <w:r w:rsidRPr="00784035">
        <w:rPr>
          <w:rFonts w:ascii="Aptos" w:hAnsi="Aptos" w:cs="Arial"/>
          <w:sz w:val="20"/>
          <w:szCs w:val="20"/>
        </w:rPr>
        <w:t>. shows how water is used in municipal settings.  Utilities also sell an additional 13 percent of its water to industrial users.</w:t>
      </w:r>
      <w:r w:rsidR="00F40503" w:rsidRPr="00784035">
        <w:rPr>
          <w:rFonts w:ascii="Aptos" w:hAnsi="Aptos" w:cs="Arial"/>
          <w:sz w:val="20"/>
          <w:szCs w:val="20"/>
        </w:rPr>
        <w:t xml:space="preserve">   This industrial use provides nearly a quarter of all manufacturing and electric power needs and is, therefore, part of many municipal water conservation programs.</w:t>
      </w:r>
    </w:p>
    <w:p w14:paraId="3D2F700E" w14:textId="77777777" w:rsidR="001B7B41" w:rsidRPr="008C2A11" w:rsidRDefault="001B7B41" w:rsidP="001B7B41">
      <w:pPr>
        <w:jc w:val="center"/>
        <w:rPr>
          <w:rFonts w:ascii="Aptos" w:hAnsi="Aptos" w:cs="Arial"/>
          <w:sz w:val="23"/>
          <w:szCs w:val="23"/>
        </w:rPr>
      </w:pPr>
      <w:r w:rsidRPr="008C2A11">
        <w:rPr>
          <w:rFonts w:ascii="Aptos" w:hAnsi="Aptos" w:cs="Arial"/>
          <w:noProof/>
          <w:color w:val="000000" w:themeColor="text1"/>
          <w:sz w:val="23"/>
          <w:szCs w:val="23"/>
          <w14:ligatures w14:val="standardContextual"/>
        </w:rPr>
        <w:drawing>
          <wp:inline distT="0" distB="0" distL="0" distR="0" wp14:anchorId="589C503B" wp14:editId="0D37BAEC">
            <wp:extent cx="4956202" cy="2681605"/>
            <wp:effectExtent l="0" t="0" r="1587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FEA9835" w14:textId="77777777" w:rsidR="00554E57" w:rsidRPr="008C2A11" w:rsidRDefault="00554E57" w:rsidP="001B7B41">
      <w:pPr>
        <w:rPr>
          <w:rFonts w:ascii="Aptos" w:hAnsi="Aptos" w:cs="Arial"/>
          <w:sz w:val="23"/>
          <w:szCs w:val="23"/>
        </w:rPr>
      </w:pPr>
    </w:p>
    <w:p w14:paraId="45DE2243" w14:textId="77777777" w:rsidR="00554E57" w:rsidRPr="008C2A11" w:rsidRDefault="00554E57" w:rsidP="001B7B41">
      <w:pPr>
        <w:rPr>
          <w:rFonts w:ascii="Aptos" w:hAnsi="Aptos" w:cs="Arial"/>
          <w:b/>
          <w:i/>
          <w:sz w:val="23"/>
          <w:szCs w:val="23"/>
          <w:u w:val="single"/>
        </w:rPr>
      </w:pPr>
      <w:r w:rsidRPr="008C2A11">
        <w:rPr>
          <w:rFonts w:ascii="Aptos" w:hAnsi="Aptos" w:cs="Arial"/>
          <w:b/>
          <w:i/>
          <w:sz w:val="23"/>
          <w:szCs w:val="23"/>
          <w:u w:val="single"/>
        </w:rPr>
        <w:t>Courses and Research at Texas Universities</w:t>
      </w:r>
    </w:p>
    <w:p w14:paraId="75D54B97" w14:textId="0AD8F89D" w:rsidR="001B7B41" w:rsidRPr="008C2A11" w:rsidRDefault="00525BCC" w:rsidP="001B7B41">
      <w:pPr>
        <w:rPr>
          <w:rFonts w:ascii="Aptos" w:hAnsi="Aptos" w:cs="Arial"/>
          <w:sz w:val="23"/>
          <w:szCs w:val="23"/>
        </w:rPr>
      </w:pPr>
      <w:r w:rsidRPr="008C2A11">
        <w:rPr>
          <w:rFonts w:ascii="Aptos" w:hAnsi="Aptos" w:cs="Arial"/>
          <w:sz w:val="23"/>
          <w:szCs w:val="23"/>
        </w:rPr>
        <w:t xml:space="preserve">Unfortunately, there </w:t>
      </w:r>
      <w:r w:rsidR="00FB2719" w:rsidRPr="008C2A11">
        <w:rPr>
          <w:rFonts w:ascii="Aptos" w:hAnsi="Aptos" w:cs="Arial"/>
          <w:sz w:val="23"/>
          <w:szCs w:val="23"/>
          <w:u w:val="single"/>
        </w:rPr>
        <w:t xml:space="preserve">are </w:t>
      </w:r>
      <w:r w:rsidRPr="008C2A11">
        <w:rPr>
          <w:rFonts w:ascii="Aptos" w:hAnsi="Aptos" w:cs="Arial"/>
          <w:sz w:val="23"/>
          <w:szCs w:val="23"/>
          <w:u w:val="single"/>
        </w:rPr>
        <w:t>little or no efforts</w:t>
      </w:r>
      <w:r w:rsidRPr="008C2A11">
        <w:rPr>
          <w:rFonts w:ascii="Aptos" w:hAnsi="Aptos" w:cs="Arial"/>
          <w:sz w:val="23"/>
          <w:szCs w:val="23"/>
        </w:rPr>
        <w:t xml:space="preserve"> in Texas colleges and universities beyond landscape irrigation and design.</w:t>
      </w:r>
      <w:r w:rsidR="005E54C7" w:rsidRPr="008C2A11">
        <w:rPr>
          <w:rFonts w:ascii="Aptos" w:hAnsi="Aptos" w:cs="Arial"/>
          <w:sz w:val="23"/>
          <w:szCs w:val="23"/>
        </w:rPr>
        <w:t xml:space="preserve">  Only Texas State University has an actual program of urban water conservation.</w:t>
      </w:r>
      <w:r w:rsidR="00F40503" w:rsidRPr="008C2A11">
        <w:rPr>
          <w:rFonts w:ascii="Aptos" w:hAnsi="Aptos" w:cs="Arial"/>
          <w:sz w:val="23"/>
          <w:szCs w:val="23"/>
        </w:rPr>
        <w:t xml:space="preserve">  </w:t>
      </w:r>
      <w:r w:rsidR="00554E57" w:rsidRPr="008C2A11">
        <w:rPr>
          <w:rFonts w:ascii="Aptos" w:hAnsi="Aptos" w:cs="Arial"/>
          <w:sz w:val="23"/>
          <w:szCs w:val="23"/>
        </w:rPr>
        <w:t>Some Texas institutions have had some research done in the municipal water efficiency area</w:t>
      </w:r>
      <w:r w:rsidR="00D7057A" w:rsidRPr="008C2A11">
        <w:rPr>
          <w:rFonts w:ascii="Aptos" w:hAnsi="Aptos" w:cs="Arial"/>
          <w:sz w:val="23"/>
          <w:szCs w:val="23"/>
        </w:rPr>
        <w:t xml:space="preserve"> and the use of alternate on-site sources</w:t>
      </w:r>
      <w:r w:rsidR="00554E57" w:rsidRPr="008C2A11">
        <w:rPr>
          <w:rFonts w:ascii="Aptos" w:hAnsi="Aptos" w:cs="Arial"/>
          <w:sz w:val="23"/>
          <w:szCs w:val="23"/>
        </w:rPr>
        <w:t xml:space="preserve">, but </w:t>
      </w:r>
      <w:r w:rsidR="00C66780" w:rsidRPr="008C2A11">
        <w:rPr>
          <w:rFonts w:ascii="Aptos" w:hAnsi="Aptos" w:cs="Arial"/>
          <w:sz w:val="23"/>
          <w:szCs w:val="23"/>
        </w:rPr>
        <w:t>apart from</w:t>
      </w:r>
      <w:r w:rsidR="00554E57" w:rsidRPr="008C2A11">
        <w:rPr>
          <w:rFonts w:ascii="Aptos" w:hAnsi="Aptos" w:cs="Arial"/>
          <w:sz w:val="23"/>
          <w:szCs w:val="23"/>
        </w:rPr>
        <w:t xml:space="preserve"> Texas State, do not have a dedicated course curriculum to train the many disciplines in this area. </w:t>
      </w:r>
      <w:r w:rsidR="00D7057A" w:rsidRPr="008C2A11">
        <w:rPr>
          <w:rFonts w:ascii="Aptos" w:hAnsi="Aptos" w:cs="Arial"/>
          <w:sz w:val="23"/>
          <w:szCs w:val="23"/>
        </w:rPr>
        <w:t xml:space="preserve">With respect to commercial and institutional water conservation, understanding how commercial type equipment ranging from food service equipment, medical and laboratory equipment, cooling towers and boilers to mention a few </w:t>
      </w:r>
      <w:r w:rsidR="00C66780" w:rsidRPr="008C2A11">
        <w:rPr>
          <w:rFonts w:ascii="Aptos" w:hAnsi="Aptos" w:cs="Arial"/>
          <w:sz w:val="23"/>
          <w:szCs w:val="23"/>
        </w:rPr>
        <w:t>works</w:t>
      </w:r>
      <w:r w:rsidR="00D7057A" w:rsidRPr="008C2A11">
        <w:rPr>
          <w:rFonts w:ascii="Aptos" w:hAnsi="Aptos" w:cs="Arial"/>
          <w:sz w:val="23"/>
          <w:szCs w:val="23"/>
        </w:rPr>
        <w:t xml:space="preserve"> and what are the energy and water efficiencies possible. The many commercial and institutional opportunities for on-site reuse and capture is another area needing attention. </w:t>
      </w:r>
      <w:r w:rsidR="00554E57" w:rsidRPr="008C2A11">
        <w:rPr>
          <w:rFonts w:ascii="Aptos" w:hAnsi="Aptos" w:cs="Arial"/>
          <w:sz w:val="23"/>
          <w:szCs w:val="23"/>
        </w:rPr>
        <w:t xml:space="preserve">Much more is needed to ensure </w:t>
      </w:r>
      <w:r w:rsidR="00C66780" w:rsidRPr="008C2A11">
        <w:rPr>
          <w:rFonts w:ascii="Aptos" w:hAnsi="Aptos" w:cs="Arial"/>
          <w:sz w:val="23"/>
          <w:szCs w:val="23"/>
        </w:rPr>
        <w:t>Texas</w:t>
      </w:r>
      <w:r w:rsidR="00554E57" w:rsidRPr="008C2A11">
        <w:rPr>
          <w:rFonts w:ascii="Aptos" w:hAnsi="Aptos" w:cs="Arial"/>
          <w:sz w:val="23"/>
          <w:szCs w:val="23"/>
        </w:rPr>
        <w:t xml:space="preserve"> has a cadre of people that understand the many facets, technologies, data analytics, and programmatic aspects.  This also applies to the new field of on-site sources of water.  This applies to the training </w:t>
      </w:r>
      <w:proofErr w:type="gramStart"/>
      <w:r w:rsidR="00554E57" w:rsidRPr="008C2A11">
        <w:rPr>
          <w:rFonts w:ascii="Aptos" w:hAnsi="Aptos" w:cs="Arial"/>
          <w:sz w:val="23"/>
          <w:szCs w:val="23"/>
        </w:rPr>
        <w:t>of :</w:t>
      </w:r>
      <w:proofErr w:type="gramEnd"/>
    </w:p>
    <w:p w14:paraId="12C1C53D" w14:textId="77777777" w:rsidR="00554E57" w:rsidRPr="008C2A11" w:rsidRDefault="00554E57" w:rsidP="00554E57">
      <w:pPr>
        <w:pStyle w:val="ListParagraph"/>
        <w:numPr>
          <w:ilvl w:val="0"/>
          <w:numId w:val="3"/>
        </w:numPr>
        <w:rPr>
          <w:rFonts w:ascii="Aptos" w:hAnsi="Aptos" w:cs="Arial"/>
          <w:sz w:val="23"/>
          <w:szCs w:val="23"/>
        </w:rPr>
      </w:pPr>
      <w:r w:rsidRPr="008C2A11">
        <w:rPr>
          <w:rFonts w:ascii="Aptos" w:hAnsi="Aptos" w:cs="Arial"/>
          <w:sz w:val="23"/>
          <w:szCs w:val="23"/>
        </w:rPr>
        <w:t>Urban and regional planners,</w:t>
      </w:r>
    </w:p>
    <w:p w14:paraId="2EB85F7F" w14:textId="77777777" w:rsidR="00554E57" w:rsidRPr="008C2A11" w:rsidRDefault="00D7057A" w:rsidP="00554E57">
      <w:pPr>
        <w:pStyle w:val="ListParagraph"/>
        <w:numPr>
          <w:ilvl w:val="0"/>
          <w:numId w:val="3"/>
        </w:numPr>
        <w:rPr>
          <w:rFonts w:ascii="Aptos" w:hAnsi="Aptos" w:cs="Arial"/>
          <w:sz w:val="23"/>
          <w:szCs w:val="23"/>
        </w:rPr>
      </w:pPr>
      <w:r w:rsidRPr="008C2A11">
        <w:rPr>
          <w:rFonts w:ascii="Aptos" w:hAnsi="Aptos" w:cs="Arial"/>
          <w:sz w:val="23"/>
          <w:szCs w:val="23"/>
        </w:rPr>
        <w:t>E</w:t>
      </w:r>
      <w:r w:rsidR="00554E57" w:rsidRPr="008C2A11">
        <w:rPr>
          <w:rFonts w:ascii="Aptos" w:hAnsi="Aptos" w:cs="Arial"/>
          <w:sz w:val="23"/>
          <w:szCs w:val="23"/>
        </w:rPr>
        <w:t>ngineering,</w:t>
      </w:r>
    </w:p>
    <w:p w14:paraId="723456A9" w14:textId="77777777" w:rsidR="00554E57" w:rsidRPr="008C2A11" w:rsidRDefault="00554E57" w:rsidP="00554E57">
      <w:pPr>
        <w:pStyle w:val="ListParagraph"/>
        <w:numPr>
          <w:ilvl w:val="0"/>
          <w:numId w:val="3"/>
        </w:numPr>
        <w:rPr>
          <w:rFonts w:ascii="Aptos" w:hAnsi="Aptos" w:cs="Arial"/>
          <w:sz w:val="23"/>
          <w:szCs w:val="23"/>
        </w:rPr>
      </w:pPr>
      <w:r w:rsidRPr="008C2A11">
        <w:rPr>
          <w:rFonts w:ascii="Aptos" w:hAnsi="Aptos" w:cs="Arial"/>
          <w:sz w:val="23"/>
          <w:szCs w:val="23"/>
        </w:rPr>
        <w:t>Environmental studies,</w:t>
      </w:r>
      <w:r w:rsidR="00D7057A" w:rsidRPr="008C2A11">
        <w:rPr>
          <w:rFonts w:ascii="Aptos" w:hAnsi="Aptos" w:cs="Arial"/>
          <w:sz w:val="23"/>
          <w:szCs w:val="23"/>
        </w:rPr>
        <w:t xml:space="preserve"> and</w:t>
      </w:r>
    </w:p>
    <w:p w14:paraId="5CED9531" w14:textId="77777777" w:rsidR="00D7057A" w:rsidRPr="008C2A11" w:rsidRDefault="00D7057A" w:rsidP="00554E57">
      <w:pPr>
        <w:pStyle w:val="ListParagraph"/>
        <w:numPr>
          <w:ilvl w:val="0"/>
          <w:numId w:val="3"/>
        </w:numPr>
        <w:rPr>
          <w:rFonts w:ascii="Aptos" w:hAnsi="Aptos" w:cs="Arial"/>
          <w:sz w:val="23"/>
          <w:szCs w:val="23"/>
        </w:rPr>
      </w:pPr>
      <w:r w:rsidRPr="008C2A11">
        <w:rPr>
          <w:rFonts w:ascii="Aptos" w:hAnsi="Aptos" w:cs="Arial"/>
          <w:sz w:val="23"/>
          <w:szCs w:val="23"/>
        </w:rPr>
        <w:t>Other areas where it may be applicable.</w:t>
      </w:r>
    </w:p>
    <w:p w14:paraId="21816620" w14:textId="77777777" w:rsidR="00F40503" w:rsidRPr="008C2A11" w:rsidRDefault="00F40503" w:rsidP="001B7B41">
      <w:pPr>
        <w:rPr>
          <w:rFonts w:ascii="Aptos" w:hAnsi="Aptos" w:cs="Arial"/>
          <w:b/>
          <w:i/>
          <w:sz w:val="23"/>
          <w:szCs w:val="23"/>
          <w:u w:val="single"/>
        </w:rPr>
      </w:pPr>
      <w:r w:rsidRPr="008C2A11">
        <w:rPr>
          <w:rFonts w:ascii="Aptos" w:hAnsi="Aptos" w:cs="Arial"/>
          <w:b/>
          <w:i/>
          <w:sz w:val="23"/>
          <w:szCs w:val="23"/>
          <w:u w:val="single"/>
        </w:rPr>
        <w:t>Energy Courses and Research at Texas Institutions of Higher Learning.</w:t>
      </w:r>
    </w:p>
    <w:p w14:paraId="7C378D9F" w14:textId="314D8D51" w:rsidR="00F40503" w:rsidRPr="008C2A11" w:rsidRDefault="00F40503" w:rsidP="001B7B41">
      <w:pPr>
        <w:rPr>
          <w:rFonts w:ascii="Aptos" w:hAnsi="Aptos" w:cs="Arial"/>
          <w:sz w:val="23"/>
          <w:szCs w:val="23"/>
        </w:rPr>
      </w:pPr>
      <w:r w:rsidRPr="008C2A11">
        <w:rPr>
          <w:rFonts w:ascii="Aptos" w:hAnsi="Aptos" w:cs="Arial"/>
          <w:sz w:val="23"/>
          <w:szCs w:val="23"/>
        </w:rPr>
        <w:t>By contrast, many Texas institutions of higher education offer PhD level courses on energy demand management and alternate on-site energy sources.  For example</w:t>
      </w:r>
      <w:r w:rsidR="00FB2719" w:rsidRPr="008C2A11">
        <w:rPr>
          <w:rFonts w:ascii="Aptos" w:hAnsi="Aptos" w:cs="Arial"/>
          <w:sz w:val="23"/>
          <w:szCs w:val="23"/>
        </w:rPr>
        <w:t xml:space="preserve">, the Webber Energy Group is a research group of professionals and students within the Cockrell School of Engineering at the University of Texas at Austin.  </w:t>
      </w:r>
    </w:p>
    <w:p w14:paraId="504B4429" w14:textId="6712EF12" w:rsidR="00C5641D" w:rsidRPr="008C2A11" w:rsidRDefault="00C5641D" w:rsidP="001B7B41">
      <w:pPr>
        <w:rPr>
          <w:rFonts w:ascii="Aptos" w:hAnsi="Aptos" w:cs="Arial"/>
          <w:sz w:val="23"/>
          <w:szCs w:val="23"/>
        </w:rPr>
      </w:pPr>
      <w:r w:rsidRPr="008C2A11">
        <w:rPr>
          <w:rFonts w:ascii="Aptos" w:hAnsi="Aptos" w:cs="Arial"/>
          <w:sz w:val="23"/>
          <w:szCs w:val="23"/>
        </w:rPr>
        <w:t xml:space="preserve">Texas A &amp; M also offers many detailed </w:t>
      </w:r>
      <w:proofErr w:type="gramStart"/>
      <w:r w:rsidRPr="008C2A11">
        <w:rPr>
          <w:rFonts w:ascii="Aptos" w:hAnsi="Aptos" w:cs="Arial"/>
          <w:sz w:val="23"/>
          <w:szCs w:val="23"/>
        </w:rPr>
        <w:t>energy</w:t>
      </w:r>
      <w:proofErr w:type="gramEnd"/>
      <w:r w:rsidRPr="008C2A11">
        <w:rPr>
          <w:rFonts w:ascii="Aptos" w:hAnsi="Aptos" w:cs="Arial"/>
          <w:sz w:val="23"/>
          <w:szCs w:val="23"/>
        </w:rPr>
        <w:t xml:space="preserve"> demand management courses and both universities do significant research in these areas,</w:t>
      </w:r>
    </w:p>
    <w:p w14:paraId="2CF16D99" w14:textId="57F18A5D" w:rsidR="00554E57" w:rsidRPr="008C2A11" w:rsidRDefault="00554E57" w:rsidP="00554E57">
      <w:pPr>
        <w:rPr>
          <w:rFonts w:ascii="Aptos" w:hAnsi="Aptos" w:cs="Arial"/>
          <w:b/>
          <w:i/>
          <w:color w:val="000000" w:themeColor="text1"/>
          <w:sz w:val="23"/>
          <w:szCs w:val="23"/>
          <w:u w:val="single"/>
        </w:rPr>
      </w:pPr>
      <w:r w:rsidRPr="008C2A11">
        <w:rPr>
          <w:rFonts w:ascii="Aptos" w:hAnsi="Aptos" w:cs="Arial"/>
          <w:b/>
          <w:i/>
          <w:color w:val="000000" w:themeColor="text1"/>
          <w:sz w:val="23"/>
          <w:szCs w:val="23"/>
          <w:u w:val="single"/>
        </w:rPr>
        <w:t xml:space="preserve">What is </w:t>
      </w:r>
      <w:r w:rsidR="00FB2719" w:rsidRPr="008C2A11">
        <w:rPr>
          <w:rFonts w:ascii="Aptos" w:hAnsi="Aptos" w:cs="Arial"/>
          <w:b/>
          <w:i/>
          <w:color w:val="000000" w:themeColor="text1"/>
          <w:sz w:val="23"/>
          <w:szCs w:val="23"/>
          <w:u w:val="single"/>
        </w:rPr>
        <w:t>Needed?</w:t>
      </w:r>
    </w:p>
    <w:p w14:paraId="45065E79" w14:textId="77777777" w:rsidR="00554E57" w:rsidRPr="008C2A11" w:rsidRDefault="00554E57" w:rsidP="00554E57">
      <w:pPr>
        <w:rPr>
          <w:rFonts w:ascii="Aptos" w:hAnsi="Aptos" w:cs="Arial"/>
          <w:color w:val="000000" w:themeColor="text1"/>
          <w:sz w:val="23"/>
          <w:szCs w:val="23"/>
        </w:rPr>
      </w:pPr>
      <w:r w:rsidRPr="008C2A11">
        <w:rPr>
          <w:rFonts w:ascii="Aptos" w:hAnsi="Aptos" w:cs="Arial"/>
          <w:color w:val="000000" w:themeColor="text1"/>
          <w:sz w:val="23"/>
          <w:szCs w:val="23"/>
        </w:rPr>
        <w:t xml:space="preserve">Both direction and funding </w:t>
      </w:r>
      <w:proofErr w:type="gramStart"/>
      <w:r w:rsidRPr="008C2A11">
        <w:rPr>
          <w:rFonts w:ascii="Aptos" w:hAnsi="Aptos" w:cs="Arial"/>
          <w:color w:val="000000" w:themeColor="text1"/>
          <w:sz w:val="23"/>
          <w:szCs w:val="23"/>
        </w:rPr>
        <w:t>is</w:t>
      </w:r>
      <w:proofErr w:type="gramEnd"/>
      <w:r w:rsidRPr="008C2A11">
        <w:rPr>
          <w:rFonts w:ascii="Aptos" w:hAnsi="Aptos" w:cs="Arial"/>
          <w:color w:val="000000" w:themeColor="text1"/>
          <w:sz w:val="23"/>
          <w:szCs w:val="23"/>
        </w:rPr>
        <w:t xml:space="preserve"> needed to establish permanent programs at Texas institutions of higher learning.  </w:t>
      </w:r>
      <w:r w:rsidR="00D7057A" w:rsidRPr="008C2A11">
        <w:rPr>
          <w:rFonts w:ascii="Aptos" w:hAnsi="Aptos" w:cs="Arial"/>
          <w:color w:val="000000" w:themeColor="text1"/>
          <w:sz w:val="23"/>
          <w:szCs w:val="23"/>
        </w:rPr>
        <w:t>First, the Texas legislature should strongly encourage academic courses and research in the area. This includes:</w:t>
      </w:r>
    </w:p>
    <w:p w14:paraId="20632445" w14:textId="69647696" w:rsidR="00D7057A" w:rsidRPr="008C2A11" w:rsidRDefault="00D7057A" w:rsidP="00D7057A">
      <w:pPr>
        <w:pStyle w:val="ListParagraph"/>
        <w:numPr>
          <w:ilvl w:val="0"/>
          <w:numId w:val="4"/>
        </w:numPr>
        <w:rPr>
          <w:rFonts w:ascii="Aptos" w:hAnsi="Aptos" w:cs="Arial"/>
          <w:color w:val="000000" w:themeColor="text1"/>
          <w:sz w:val="23"/>
          <w:szCs w:val="23"/>
        </w:rPr>
      </w:pPr>
      <w:r w:rsidRPr="008C2A11">
        <w:rPr>
          <w:rFonts w:ascii="Aptos" w:hAnsi="Aptos" w:cs="Arial"/>
          <w:color w:val="000000" w:themeColor="text1"/>
          <w:sz w:val="23"/>
          <w:szCs w:val="23"/>
        </w:rPr>
        <w:t xml:space="preserve">A set of coursework to train those working in the </w:t>
      </w:r>
      <w:r w:rsidR="008C2A11" w:rsidRPr="008C2A11">
        <w:rPr>
          <w:rFonts w:ascii="Aptos" w:hAnsi="Aptos" w:cs="Arial"/>
          <w:color w:val="000000" w:themeColor="text1"/>
          <w:sz w:val="23"/>
          <w:szCs w:val="23"/>
        </w:rPr>
        <w:t>above-mentioned</w:t>
      </w:r>
      <w:r w:rsidRPr="008C2A11">
        <w:rPr>
          <w:rFonts w:ascii="Aptos" w:hAnsi="Aptos" w:cs="Arial"/>
          <w:color w:val="000000" w:themeColor="text1"/>
          <w:sz w:val="23"/>
          <w:szCs w:val="23"/>
        </w:rPr>
        <w:t xml:space="preserve"> disciplines to even include degrees specifically in the areas of demand management and alternate on-site water </w:t>
      </w:r>
      <w:proofErr w:type="gramStart"/>
      <w:r w:rsidRPr="008C2A11">
        <w:rPr>
          <w:rFonts w:ascii="Aptos" w:hAnsi="Aptos" w:cs="Arial"/>
          <w:color w:val="000000" w:themeColor="text1"/>
          <w:sz w:val="23"/>
          <w:szCs w:val="23"/>
        </w:rPr>
        <w:t>sources;</w:t>
      </w:r>
      <w:proofErr w:type="gramEnd"/>
    </w:p>
    <w:p w14:paraId="16733C84" w14:textId="77777777" w:rsidR="00D7057A" w:rsidRPr="008C2A11" w:rsidRDefault="006C6195" w:rsidP="00D7057A">
      <w:pPr>
        <w:pStyle w:val="ListParagraph"/>
        <w:numPr>
          <w:ilvl w:val="0"/>
          <w:numId w:val="4"/>
        </w:numPr>
        <w:rPr>
          <w:rFonts w:ascii="Aptos" w:hAnsi="Aptos" w:cs="Arial"/>
          <w:color w:val="000000" w:themeColor="text1"/>
          <w:sz w:val="23"/>
          <w:szCs w:val="23"/>
        </w:rPr>
      </w:pPr>
      <w:r w:rsidRPr="008C2A11">
        <w:rPr>
          <w:rFonts w:ascii="Aptos" w:hAnsi="Aptos" w:cs="Arial"/>
          <w:color w:val="000000" w:themeColor="text1"/>
          <w:sz w:val="23"/>
          <w:szCs w:val="23"/>
        </w:rPr>
        <w:t>Course work concerning w</w:t>
      </w:r>
      <w:r w:rsidR="00D7057A" w:rsidRPr="008C2A11">
        <w:rPr>
          <w:rFonts w:ascii="Aptos" w:hAnsi="Aptos" w:cs="Arial"/>
          <w:color w:val="000000" w:themeColor="text1"/>
          <w:sz w:val="23"/>
          <w:szCs w:val="23"/>
        </w:rPr>
        <w:t>ater efficiency in commercial and institutional facilities including the interaction of water and energy use,</w:t>
      </w:r>
    </w:p>
    <w:p w14:paraId="5DE55870" w14:textId="77777777" w:rsidR="006C6195" w:rsidRPr="008C2A11" w:rsidRDefault="006C6195" w:rsidP="00D7057A">
      <w:pPr>
        <w:pStyle w:val="ListParagraph"/>
        <w:numPr>
          <w:ilvl w:val="0"/>
          <w:numId w:val="4"/>
        </w:numPr>
        <w:rPr>
          <w:rFonts w:ascii="Aptos" w:hAnsi="Aptos" w:cs="Arial"/>
          <w:color w:val="000000" w:themeColor="text1"/>
          <w:sz w:val="23"/>
          <w:szCs w:val="23"/>
        </w:rPr>
      </w:pPr>
      <w:r w:rsidRPr="008C2A11">
        <w:rPr>
          <w:rFonts w:ascii="Aptos" w:hAnsi="Aptos" w:cs="Arial"/>
          <w:color w:val="000000" w:themeColor="text1"/>
          <w:sz w:val="23"/>
          <w:szCs w:val="23"/>
        </w:rPr>
        <w:t>Study of the interaction and energy-water nexus of the end user</w:t>
      </w:r>
      <w:r w:rsidR="00AD0567" w:rsidRPr="008C2A11">
        <w:rPr>
          <w:rFonts w:ascii="Aptos" w:hAnsi="Aptos" w:cs="Arial"/>
          <w:color w:val="000000" w:themeColor="text1"/>
          <w:sz w:val="23"/>
          <w:szCs w:val="23"/>
        </w:rPr>
        <w:t xml:space="preserve"> (</w:t>
      </w:r>
      <w:r w:rsidR="00F45C7C" w:rsidRPr="008C2A11">
        <w:rPr>
          <w:rFonts w:ascii="Aptos" w:hAnsi="Aptos" w:cs="Arial"/>
          <w:color w:val="000000" w:themeColor="text1"/>
          <w:sz w:val="23"/>
          <w:szCs w:val="23"/>
        </w:rPr>
        <w:t>commercial equipment energy and water use)</w:t>
      </w:r>
      <w:r w:rsidRPr="008C2A11">
        <w:rPr>
          <w:rFonts w:ascii="Aptos" w:hAnsi="Aptos" w:cs="Arial"/>
          <w:color w:val="000000" w:themeColor="text1"/>
          <w:sz w:val="23"/>
          <w:szCs w:val="23"/>
        </w:rPr>
        <w:t>,</w:t>
      </w:r>
    </w:p>
    <w:p w14:paraId="427E9B47" w14:textId="77777777" w:rsidR="006C6195" w:rsidRPr="008C2A11" w:rsidRDefault="006C6195" w:rsidP="00D7057A">
      <w:pPr>
        <w:pStyle w:val="ListParagraph"/>
        <w:numPr>
          <w:ilvl w:val="0"/>
          <w:numId w:val="4"/>
        </w:numPr>
        <w:rPr>
          <w:rFonts w:ascii="Aptos" w:hAnsi="Aptos" w:cs="Arial"/>
          <w:color w:val="000000" w:themeColor="text1"/>
          <w:sz w:val="23"/>
          <w:szCs w:val="23"/>
        </w:rPr>
      </w:pPr>
      <w:r w:rsidRPr="008C2A11">
        <w:rPr>
          <w:rFonts w:ascii="Aptos" w:hAnsi="Aptos" w:cs="Arial"/>
          <w:color w:val="000000" w:themeColor="text1"/>
          <w:sz w:val="23"/>
          <w:szCs w:val="23"/>
        </w:rPr>
        <w:lastRenderedPageBreak/>
        <w:t>Coursework concerning the implementation and execution of effective water efficiency programs at the municipal level,</w:t>
      </w:r>
    </w:p>
    <w:p w14:paraId="0E17BD6D" w14:textId="77777777" w:rsidR="006C6195" w:rsidRPr="008C2A11" w:rsidRDefault="006C6195" w:rsidP="00D7057A">
      <w:pPr>
        <w:pStyle w:val="ListParagraph"/>
        <w:numPr>
          <w:ilvl w:val="0"/>
          <w:numId w:val="4"/>
        </w:numPr>
        <w:rPr>
          <w:rFonts w:ascii="Aptos" w:hAnsi="Aptos" w:cs="Arial"/>
          <w:color w:val="000000" w:themeColor="text1"/>
          <w:sz w:val="23"/>
          <w:szCs w:val="23"/>
        </w:rPr>
      </w:pPr>
      <w:r w:rsidRPr="008C2A11">
        <w:rPr>
          <w:rFonts w:ascii="Aptos" w:hAnsi="Aptos" w:cs="Arial"/>
          <w:color w:val="000000" w:themeColor="text1"/>
          <w:sz w:val="23"/>
          <w:szCs w:val="23"/>
        </w:rPr>
        <w:t>Research on the statistical studies of all aspects of water efficiency and demand management,</w:t>
      </w:r>
    </w:p>
    <w:p w14:paraId="3FCAAEC7" w14:textId="77777777" w:rsidR="006C6195" w:rsidRPr="008C2A11" w:rsidRDefault="006C6195" w:rsidP="00D7057A">
      <w:pPr>
        <w:pStyle w:val="ListParagraph"/>
        <w:numPr>
          <w:ilvl w:val="0"/>
          <w:numId w:val="4"/>
        </w:numPr>
        <w:rPr>
          <w:rFonts w:ascii="Aptos" w:hAnsi="Aptos" w:cs="Arial"/>
          <w:color w:val="000000" w:themeColor="text1"/>
          <w:sz w:val="23"/>
          <w:szCs w:val="23"/>
        </w:rPr>
      </w:pPr>
      <w:r w:rsidRPr="008C2A11">
        <w:rPr>
          <w:rFonts w:ascii="Aptos" w:hAnsi="Aptos" w:cs="Arial"/>
          <w:color w:val="000000" w:themeColor="text1"/>
          <w:sz w:val="23"/>
          <w:szCs w:val="23"/>
        </w:rPr>
        <w:t xml:space="preserve">Development of statistical methods to predict seasonal water </w:t>
      </w:r>
      <w:r w:rsidR="00AD0567" w:rsidRPr="008C2A11">
        <w:rPr>
          <w:rFonts w:ascii="Aptos" w:hAnsi="Aptos" w:cs="Arial"/>
          <w:color w:val="000000" w:themeColor="text1"/>
          <w:sz w:val="23"/>
          <w:szCs w:val="23"/>
        </w:rPr>
        <w:t>demand,</w:t>
      </w:r>
    </w:p>
    <w:p w14:paraId="5D9FDA43" w14:textId="77777777" w:rsidR="00AD0567" w:rsidRPr="008C2A11" w:rsidRDefault="00AD0567" w:rsidP="00D7057A">
      <w:pPr>
        <w:pStyle w:val="ListParagraph"/>
        <w:numPr>
          <w:ilvl w:val="0"/>
          <w:numId w:val="4"/>
        </w:numPr>
        <w:rPr>
          <w:rFonts w:ascii="Aptos" w:hAnsi="Aptos" w:cs="Arial"/>
          <w:color w:val="000000" w:themeColor="text1"/>
          <w:sz w:val="23"/>
          <w:szCs w:val="23"/>
        </w:rPr>
      </w:pPr>
      <w:r w:rsidRPr="008C2A11">
        <w:rPr>
          <w:rFonts w:ascii="Aptos" w:hAnsi="Aptos" w:cs="Arial"/>
          <w:color w:val="000000" w:themeColor="text1"/>
          <w:sz w:val="23"/>
          <w:szCs w:val="23"/>
        </w:rPr>
        <w:t>Benchmarking commercial and institutional facility water use, and</w:t>
      </w:r>
    </w:p>
    <w:p w14:paraId="5885319A" w14:textId="77777777" w:rsidR="00AD0567" w:rsidRPr="008C2A11" w:rsidRDefault="00AD0567" w:rsidP="00D7057A">
      <w:pPr>
        <w:pStyle w:val="ListParagraph"/>
        <w:numPr>
          <w:ilvl w:val="0"/>
          <w:numId w:val="4"/>
        </w:numPr>
        <w:rPr>
          <w:rFonts w:ascii="Aptos" w:hAnsi="Aptos" w:cs="Arial"/>
          <w:color w:val="000000" w:themeColor="text1"/>
          <w:sz w:val="23"/>
          <w:szCs w:val="23"/>
        </w:rPr>
      </w:pPr>
      <w:r w:rsidRPr="008C2A11">
        <w:rPr>
          <w:rFonts w:ascii="Aptos" w:hAnsi="Aptos" w:cs="Arial"/>
          <w:color w:val="000000" w:themeColor="text1"/>
          <w:sz w:val="23"/>
          <w:szCs w:val="23"/>
        </w:rPr>
        <w:t xml:space="preserve">Engineering research on the availability, </w:t>
      </w:r>
      <w:proofErr w:type="gramStart"/>
      <w:r w:rsidRPr="008C2A11">
        <w:rPr>
          <w:rFonts w:ascii="Aptos" w:hAnsi="Aptos" w:cs="Arial"/>
          <w:color w:val="000000" w:themeColor="text1"/>
          <w:sz w:val="23"/>
          <w:szCs w:val="23"/>
        </w:rPr>
        <w:t>treatment</w:t>
      </w:r>
      <w:proofErr w:type="gramEnd"/>
      <w:r w:rsidRPr="008C2A11">
        <w:rPr>
          <w:rFonts w:ascii="Aptos" w:hAnsi="Aptos" w:cs="Arial"/>
          <w:color w:val="000000" w:themeColor="text1"/>
          <w:sz w:val="23"/>
          <w:szCs w:val="23"/>
        </w:rPr>
        <w:t xml:space="preserve"> and application of alternate sources of water to mention a few.</w:t>
      </w:r>
    </w:p>
    <w:p w14:paraId="32B050FA" w14:textId="77777777" w:rsidR="00AD0567" w:rsidRPr="008C2A11" w:rsidRDefault="00AD0567" w:rsidP="00AD0567">
      <w:pPr>
        <w:rPr>
          <w:rFonts w:ascii="Aptos" w:hAnsi="Aptos" w:cs="Arial"/>
          <w:b/>
          <w:i/>
          <w:color w:val="000000" w:themeColor="text1"/>
          <w:sz w:val="23"/>
          <w:szCs w:val="23"/>
          <w:u w:val="single"/>
        </w:rPr>
      </w:pPr>
      <w:r w:rsidRPr="008C2A11">
        <w:rPr>
          <w:rFonts w:ascii="Aptos" w:hAnsi="Aptos" w:cs="Arial"/>
          <w:b/>
          <w:i/>
          <w:color w:val="000000" w:themeColor="text1"/>
          <w:sz w:val="23"/>
          <w:szCs w:val="23"/>
          <w:u w:val="single"/>
        </w:rPr>
        <w:t>The Cost</w:t>
      </w:r>
    </w:p>
    <w:p w14:paraId="311F44B6" w14:textId="55B09FEF" w:rsidR="00AD0567" w:rsidRPr="008C2A11" w:rsidRDefault="00AD0567" w:rsidP="00AD0567">
      <w:pPr>
        <w:rPr>
          <w:rFonts w:ascii="Aptos" w:hAnsi="Aptos" w:cs="Arial"/>
          <w:color w:val="000000" w:themeColor="text1"/>
          <w:sz w:val="23"/>
          <w:szCs w:val="23"/>
        </w:rPr>
      </w:pPr>
      <w:r w:rsidRPr="008C2A11">
        <w:rPr>
          <w:rFonts w:ascii="Aptos" w:hAnsi="Aptos" w:cs="Arial"/>
          <w:color w:val="000000" w:themeColor="text1"/>
          <w:sz w:val="23"/>
          <w:szCs w:val="23"/>
        </w:rPr>
        <w:t xml:space="preserve">The cost to fund one professor along with a graduate student stipend is in the range of $250,000 a year.  If engineer research is involved, </w:t>
      </w:r>
      <w:r w:rsidR="008C2A11" w:rsidRPr="008C2A11">
        <w:rPr>
          <w:rFonts w:ascii="Aptos" w:hAnsi="Aptos" w:cs="Arial"/>
          <w:color w:val="000000" w:themeColor="text1"/>
          <w:sz w:val="23"/>
          <w:szCs w:val="23"/>
        </w:rPr>
        <w:t>the cost</w:t>
      </w:r>
      <w:r w:rsidRPr="008C2A11">
        <w:rPr>
          <w:rFonts w:ascii="Aptos" w:hAnsi="Aptos" w:cs="Arial"/>
          <w:color w:val="000000" w:themeColor="text1"/>
          <w:sz w:val="23"/>
          <w:szCs w:val="23"/>
        </w:rPr>
        <w:t xml:space="preserve"> can easily be over $500,000 a year.   Providing funding </w:t>
      </w:r>
      <w:r w:rsidR="008C2A11" w:rsidRPr="008C2A11">
        <w:rPr>
          <w:rFonts w:ascii="Aptos" w:hAnsi="Aptos" w:cs="Arial"/>
          <w:color w:val="000000" w:themeColor="text1"/>
          <w:sz w:val="23"/>
          <w:szCs w:val="23"/>
        </w:rPr>
        <w:t>for universities</w:t>
      </w:r>
      <w:r w:rsidRPr="008C2A11">
        <w:rPr>
          <w:rFonts w:ascii="Aptos" w:hAnsi="Aptos" w:cs="Arial"/>
          <w:color w:val="000000" w:themeColor="text1"/>
          <w:sz w:val="23"/>
          <w:szCs w:val="23"/>
        </w:rPr>
        <w:t xml:space="preserve"> </w:t>
      </w:r>
      <w:proofErr w:type="gramStart"/>
      <w:r w:rsidRPr="008C2A11">
        <w:rPr>
          <w:rFonts w:ascii="Aptos" w:hAnsi="Aptos" w:cs="Arial"/>
          <w:color w:val="000000" w:themeColor="text1"/>
          <w:sz w:val="23"/>
          <w:szCs w:val="23"/>
        </w:rPr>
        <w:t>will  cost</w:t>
      </w:r>
      <w:proofErr w:type="gramEnd"/>
      <w:r w:rsidRPr="008C2A11">
        <w:rPr>
          <w:rFonts w:ascii="Aptos" w:hAnsi="Aptos" w:cs="Arial"/>
          <w:color w:val="000000" w:themeColor="text1"/>
          <w:sz w:val="23"/>
          <w:szCs w:val="23"/>
        </w:rPr>
        <w:t xml:space="preserve"> from $2.5 to $5 million dollars a year.  With this level of funding, some five to eight universities could begin these programs</w:t>
      </w:r>
    </w:p>
    <w:p w14:paraId="0143115D" w14:textId="45D818E7" w:rsidR="00F45C7C" w:rsidRPr="008C2A11" w:rsidRDefault="00F45C7C" w:rsidP="00C5641D">
      <w:pPr>
        <w:rPr>
          <w:rFonts w:ascii="Aptos" w:hAnsi="Aptos" w:cs="Arial"/>
          <w:b/>
          <w:i/>
          <w:color w:val="000000" w:themeColor="text1"/>
          <w:sz w:val="23"/>
          <w:szCs w:val="23"/>
          <w:u w:val="single"/>
        </w:rPr>
      </w:pPr>
      <w:r w:rsidRPr="008C2A11">
        <w:rPr>
          <w:rFonts w:ascii="Aptos" w:hAnsi="Aptos" w:cs="Arial"/>
          <w:b/>
          <w:i/>
          <w:color w:val="000000" w:themeColor="text1"/>
          <w:sz w:val="23"/>
          <w:szCs w:val="23"/>
          <w:u w:val="single"/>
        </w:rPr>
        <w:t>Proposed Water Conservation Advisory Council Action</w:t>
      </w:r>
    </w:p>
    <w:p w14:paraId="04FDCF37" w14:textId="0141A734" w:rsidR="00525BCC" w:rsidRPr="008C2A11" w:rsidRDefault="00C5641D" w:rsidP="00C5641D">
      <w:pPr>
        <w:rPr>
          <w:rFonts w:ascii="Aptos" w:hAnsi="Aptos" w:cs="Arial"/>
          <w:color w:val="000000" w:themeColor="text1"/>
          <w:sz w:val="23"/>
          <w:szCs w:val="23"/>
        </w:rPr>
      </w:pPr>
      <w:r w:rsidRPr="008C2A11">
        <w:rPr>
          <w:rFonts w:ascii="Aptos" w:hAnsi="Aptos" w:cs="Arial"/>
          <w:color w:val="000000" w:themeColor="text1"/>
          <w:sz w:val="23"/>
          <w:szCs w:val="23"/>
        </w:rPr>
        <w:t>The council, in conjunction with the Texas Water Development Board, and the Texas Section of the American Water Works Association will form an advisory group academic advisors will work to develop specific recommendations for the next Legislative session concerning the following:</w:t>
      </w:r>
    </w:p>
    <w:p w14:paraId="2CCC7FF7" w14:textId="0165D72A" w:rsidR="00C5641D" w:rsidRPr="008C2A11" w:rsidRDefault="00C5641D" w:rsidP="004E6221">
      <w:pPr>
        <w:pStyle w:val="ListParagraph"/>
        <w:numPr>
          <w:ilvl w:val="0"/>
          <w:numId w:val="6"/>
        </w:numPr>
        <w:rPr>
          <w:rFonts w:ascii="Aptos" w:hAnsi="Aptos" w:cs="Arial"/>
          <w:color w:val="000000" w:themeColor="text1"/>
          <w:sz w:val="23"/>
          <w:szCs w:val="23"/>
        </w:rPr>
      </w:pPr>
      <w:r w:rsidRPr="008C2A11">
        <w:rPr>
          <w:rFonts w:ascii="Aptos" w:hAnsi="Aptos" w:cs="Arial"/>
          <w:color w:val="000000" w:themeColor="text1"/>
          <w:sz w:val="23"/>
          <w:szCs w:val="23"/>
        </w:rPr>
        <w:t xml:space="preserve">An analysis if the current state of academic activity in this area, or the lack </w:t>
      </w:r>
      <w:proofErr w:type="gramStart"/>
      <w:r w:rsidRPr="008C2A11">
        <w:rPr>
          <w:rFonts w:ascii="Aptos" w:hAnsi="Aptos" w:cs="Arial"/>
          <w:color w:val="000000" w:themeColor="text1"/>
          <w:sz w:val="23"/>
          <w:szCs w:val="23"/>
        </w:rPr>
        <w:t>thereof;</w:t>
      </w:r>
      <w:proofErr w:type="gramEnd"/>
    </w:p>
    <w:p w14:paraId="4EB822FF" w14:textId="0D9BCB22" w:rsidR="00C5641D" w:rsidRPr="008C2A11" w:rsidRDefault="00C5641D" w:rsidP="004E6221">
      <w:pPr>
        <w:pStyle w:val="ListParagraph"/>
        <w:numPr>
          <w:ilvl w:val="0"/>
          <w:numId w:val="6"/>
        </w:numPr>
        <w:rPr>
          <w:rFonts w:ascii="Aptos" w:hAnsi="Aptos" w:cs="Arial"/>
          <w:color w:val="000000" w:themeColor="text1"/>
          <w:sz w:val="23"/>
          <w:szCs w:val="23"/>
        </w:rPr>
      </w:pPr>
      <w:r w:rsidRPr="008C2A11">
        <w:rPr>
          <w:rFonts w:ascii="Aptos" w:hAnsi="Aptos" w:cs="Arial"/>
          <w:color w:val="000000" w:themeColor="text1"/>
          <w:sz w:val="23"/>
          <w:szCs w:val="23"/>
        </w:rPr>
        <w:t xml:space="preserve">A more detailed analysis of the type of courses and research </w:t>
      </w:r>
      <w:proofErr w:type="gramStart"/>
      <w:r w:rsidRPr="008C2A11">
        <w:rPr>
          <w:rFonts w:ascii="Aptos" w:hAnsi="Aptos" w:cs="Arial"/>
          <w:color w:val="000000" w:themeColor="text1"/>
          <w:sz w:val="23"/>
          <w:szCs w:val="23"/>
        </w:rPr>
        <w:t>needed;</w:t>
      </w:r>
      <w:proofErr w:type="gramEnd"/>
    </w:p>
    <w:p w14:paraId="2E952CFE" w14:textId="77777777" w:rsidR="00C5641D" w:rsidRPr="008C2A11" w:rsidRDefault="00C5641D" w:rsidP="004E6221">
      <w:pPr>
        <w:pStyle w:val="ListParagraph"/>
        <w:numPr>
          <w:ilvl w:val="0"/>
          <w:numId w:val="6"/>
        </w:numPr>
        <w:rPr>
          <w:rFonts w:ascii="Aptos" w:hAnsi="Aptos" w:cs="Arial"/>
          <w:color w:val="000000" w:themeColor="text1"/>
          <w:sz w:val="23"/>
          <w:szCs w:val="23"/>
        </w:rPr>
      </w:pPr>
      <w:r w:rsidRPr="008C2A11">
        <w:rPr>
          <w:rFonts w:ascii="Aptos" w:hAnsi="Aptos" w:cs="Arial"/>
          <w:color w:val="000000" w:themeColor="text1"/>
          <w:sz w:val="23"/>
          <w:szCs w:val="23"/>
        </w:rPr>
        <w:t xml:space="preserve">Which State supported universities and institutional of higher learning would be targeted for </w:t>
      </w:r>
      <w:proofErr w:type="gramStart"/>
      <w:r w:rsidRPr="008C2A11">
        <w:rPr>
          <w:rFonts w:ascii="Aptos" w:hAnsi="Aptos" w:cs="Arial"/>
          <w:color w:val="000000" w:themeColor="text1"/>
          <w:sz w:val="23"/>
          <w:szCs w:val="23"/>
        </w:rPr>
        <w:t>funding;</w:t>
      </w:r>
      <w:proofErr w:type="gramEnd"/>
    </w:p>
    <w:p w14:paraId="2741F02D" w14:textId="299B8565" w:rsidR="00C5641D" w:rsidRPr="008C2A11" w:rsidRDefault="00C5641D" w:rsidP="004E6221">
      <w:pPr>
        <w:pStyle w:val="ListParagraph"/>
        <w:numPr>
          <w:ilvl w:val="0"/>
          <w:numId w:val="6"/>
        </w:numPr>
        <w:rPr>
          <w:rFonts w:ascii="Aptos" w:hAnsi="Aptos" w:cs="Arial"/>
          <w:color w:val="000000" w:themeColor="text1"/>
          <w:sz w:val="23"/>
          <w:szCs w:val="23"/>
        </w:rPr>
      </w:pPr>
      <w:r w:rsidRPr="008C2A11">
        <w:rPr>
          <w:rFonts w:ascii="Aptos" w:hAnsi="Aptos" w:cs="Arial"/>
          <w:color w:val="000000" w:themeColor="text1"/>
          <w:sz w:val="23"/>
          <w:szCs w:val="23"/>
        </w:rPr>
        <w:t>How the fund would be administered; and</w:t>
      </w:r>
    </w:p>
    <w:p w14:paraId="28B47DA2" w14:textId="77777777" w:rsidR="00C5641D" w:rsidRPr="008C2A11" w:rsidRDefault="00C5641D" w:rsidP="004E6221">
      <w:pPr>
        <w:pStyle w:val="ListParagraph"/>
        <w:numPr>
          <w:ilvl w:val="0"/>
          <w:numId w:val="6"/>
        </w:numPr>
        <w:rPr>
          <w:rFonts w:ascii="Aptos" w:hAnsi="Aptos" w:cs="Arial"/>
          <w:color w:val="000000" w:themeColor="text1"/>
          <w:sz w:val="23"/>
          <w:szCs w:val="23"/>
        </w:rPr>
      </w:pPr>
      <w:r w:rsidRPr="008C2A11">
        <w:rPr>
          <w:rFonts w:ascii="Aptos" w:hAnsi="Aptos" w:cs="Arial"/>
          <w:color w:val="000000" w:themeColor="text1"/>
          <w:sz w:val="23"/>
          <w:szCs w:val="23"/>
        </w:rPr>
        <w:t>An estimate of the cost to support this legislation.</w:t>
      </w:r>
    </w:p>
    <w:p w14:paraId="273DEC37" w14:textId="7A35ED06" w:rsidR="00C5641D" w:rsidRPr="008C2A11" w:rsidRDefault="00C5641D">
      <w:pPr>
        <w:rPr>
          <w:rFonts w:ascii="Aptos" w:hAnsi="Aptos" w:cs="Arial"/>
          <w:color w:val="000000" w:themeColor="text1"/>
          <w:sz w:val="23"/>
          <w:szCs w:val="23"/>
        </w:rPr>
      </w:pPr>
      <w:r w:rsidRPr="008C2A11">
        <w:rPr>
          <w:rFonts w:ascii="Aptos" w:hAnsi="Aptos" w:cs="Arial"/>
          <w:color w:val="000000" w:themeColor="text1"/>
          <w:sz w:val="23"/>
          <w:szCs w:val="23"/>
        </w:rPr>
        <w:t xml:space="preserve">The </w:t>
      </w:r>
      <w:r w:rsidRPr="008C2A11">
        <w:rPr>
          <w:rFonts w:ascii="Aptos" w:hAnsi="Aptos" w:cs="Arial"/>
          <w:color w:val="000000" w:themeColor="text1"/>
          <w:sz w:val="23"/>
          <w:szCs w:val="23"/>
          <w:u w:val="words"/>
        </w:rPr>
        <w:t>council will also</w:t>
      </w:r>
      <w:r w:rsidRPr="008C2A11">
        <w:rPr>
          <w:rFonts w:ascii="Aptos" w:hAnsi="Aptos" w:cs="Arial"/>
          <w:color w:val="000000" w:themeColor="text1"/>
          <w:sz w:val="23"/>
          <w:szCs w:val="23"/>
        </w:rPr>
        <w:t xml:space="preserve"> </w:t>
      </w:r>
      <w:r w:rsidR="00AD09F0" w:rsidRPr="008C2A11">
        <w:rPr>
          <w:rFonts w:ascii="Aptos" w:hAnsi="Aptos" w:cs="Arial"/>
          <w:color w:val="000000" w:themeColor="text1"/>
          <w:sz w:val="23"/>
          <w:szCs w:val="23"/>
        </w:rPr>
        <w:t>form a group to have oversight of what is funded.</w:t>
      </w:r>
    </w:p>
    <w:sectPr w:rsidR="00C5641D" w:rsidRPr="008C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330B7"/>
    <w:multiLevelType w:val="hybridMultilevel"/>
    <w:tmpl w:val="53E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8173D"/>
    <w:multiLevelType w:val="hybridMultilevel"/>
    <w:tmpl w:val="578A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D0CC9"/>
    <w:multiLevelType w:val="hybridMultilevel"/>
    <w:tmpl w:val="3760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A6E39"/>
    <w:multiLevelType w:val="hybridMultilevel"/>
    <w:tmpl w:val="98A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E556D"/>
    <w:multiLevelType w:val="hybridMultilevel"/>
    <w:tmpl w:val="61B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E29CA"/>
    <w:multiLevelType w:val="hybridMultilevel"/>
    <w:tmpl w:val="BB4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602331">
    <w:abstractNumId w:val="5"/>
  </w:num>
  <w:num w:numId="2" w16cid:durableId="762650529">
    <w:abstractNumId w:val="4"/>
  </w:num>
  <w:num w:numId="3" w16cid:durableId="11498179">
    <w:abstractNumId w:val="1"/>
  </w:num>
  <w:num w:numId="4" w16cid:durableId="1422989597">
    <w:abstractNumId w:val="3"/>
  </w:num>
  <w:num w:numId="5" w16cid:durableId="1495798558">
    <w:abstractNumId w:val="2"/>
  </w:num>
  <w:num w:numId="6" w16cid:durableId="44794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41"/>
    <w:rsid w:val="001B7B41"/>
    <w:rsid w:val="00232636"/>
    <w:rsid w:val="004E6221"/>
    <w:rsid w:val="00525BCC"/>
    <w:rsid w:val="00554E57"/>
    <w:rsid w:val="005E54C7"/>
    <w:rsid w:val="006C25A7"/>
    <w:rsid w:val="006C6195"/>
    <w:rsid w:val="006E3604"/>
    <w:rsid w:val="007760C8"/>
    <w:rsid w:val="00784035"/>
    <w:rsid w:val="008C2A11"/>
    <w:rsid w:val="00A5551F"/>
    <w:rsid w:val="00AD0567"/>
    <w:rsid w:val="00AD09F0"/>
    <w:rsid w:val="00C5641D"/>
    <w:rsid w:val="00C66780"/>
    <w:rsid w:val="00D7057A"/>
    <w:rsid w:val="00E13AE1"/>
    <w:rsid w:val="00E6492D"/>
    <w:rsid w:val="00F40503"/>
    <w:rsid w:val="00F45C7C"/>
    <w:rsid w:val="00FB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C2A2"/>
  <w15:chartTrackingRefBased/>
  <w15:docId w15:val="{6211AF7B-9C7A-4CC6-9DE7-E7733EA8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4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263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E54C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E54C7"/>
    <w:pPr>
      <w:ind w:left="720"/>
      <w:contextualSpacing/>
    </w:pPr>
  </w:style>
  <w:style w:type="paragraph" w:styleId="Revision">
    <w:name w:val="Revision"/>
    <w:hidden/>
    <w:uiPriority w:val="99"/>
    <w:semiHidden/>
    <w:rsid w:val="00FB2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991185">
      <w:bodyDiv w:val="1"/>
      <w:marLeft w:val="0"/>
      <w:marRight w:val="0"/>
      <w:marTop w:val="0"/>
      <w:marBottom w:val="0"/>
      <w:divBdr>
        <w:top w:val="none" w:sz="0" w:space="0" w:color="auto"/>
        <w:left w:val="none" w:sz="0" w:space="0" w:color="auto"/>
        <w:bottom w:val="none" w:sz="0" w:space="0" w:color="auto"/>
        <w:right w:val="none" w:sz="0" w:space="0" w:color="auto"/>
      </w:divBdr>
    </w:div>
    <w:div w:id="1120564332">
      <w:bodyDiv w:val="1"/>
      <w:marLeft w:val="0"/>
      <w:marRight w:val="0"/>
      <w:marTop w:val="0"/>
      <w:marBottom w:val="0"/>
      <w:divBdr>
        <w:top w:val="none" w:sz="0" w:space="0" w:color="auto"/>
        <w:left w:val="none" w:sz="0" w:space="0" w:color="auto"/>
        <w:bottom w:val="none" w:sz="0" w:space="0" w:color="auto"/>
        <w:right w:val="none" w:sz="0" w:space="0" w:color="auto"/>
      </w:divBdr>
    </w:div>
    <w:div w:id="1688093499">
      <w:bodyDiv w:val="1"/>
      <w:marLeft w:val="0"/>
      <w:marRight w:val="0"/>
      <w:marTop w:val="0"/>
      <w:marBottom w:val="0"/>
      <w:divBdr>
        <w:top w:val="none" w:sz="0" w:space="0" w:color="auto"/>
        <w:left w:val="none" w:sz="0" w:space="0" w:color="auto"/>
        <w:bottom w:val="none" w:sz="0" w:space="0" w:color="auto"/>
        <w:right w:val="none" w:sz="0" w:space="0" w:color="auto"/>
      </w:divBdr>
    </w:div>
    <w:div w:id="1891768573">
      <w:bodyDiv w:val="1"/>
      <w:marLeft w:val="0"/>
      <w:marRight w:val="0"/>
      <w:marTop w:val="0"/>
      <w:marBottom w:val="0"/>
      <w:divBdr>
        <w:top w:val="none" w:sz="0" w:space="0" w:color="auto"/>
        <w:left w:val="none" w:sz="0" w:space="0" w:color="auto"/>
        <w:bottom w:val="none" w:sz="0" w:space="0" w:color="auto"/>
        <w:right w:val="none" w:sz="0" w:space="0" w:color="auto"/>
      </w:divBdr>
    </w:div>
    <w:div w:id="19944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solidFill>
                  <a:schemeClr val="tx1"/>
                </a:solidFill>
              </a:rPr>
              <a:t>Figure 2.Texas Utilities Water Sales Breakdown</a:t>
            </a:r>
          </a:p>
          <a:p>
            <a:pPr>
              <a:defRPr/>
            </a:pPr>
            <a:r>
              <a:rPr lang="en-US" sz="900" i="1">
                <a:solidFill>
                  <a:schemeClr val="tx1"/>
                </a:solidFill>
              </a:rPr>
              <a:t>Water Use of Texas Water Utilities</a:t>
            </a:r>
          </a:p>
          <a:p>
            <a:pPr>
              <a:defRPr/>
            </a:pPr>
            <a:r>
              <a:rPr lang="en-US" sz="900" i="1">
                <a:solidFill>
                  <a:schemeClr val="tx1"/>
                </a:solidFill>
              </a:rPr>
              <a:t>Report to the 87th Legilsaure</a:t>
            </a:r>
          </a:p>
        </c:rich>
      </c:tx>
      <c:layout>
        <c:manualLayout>
          <c:xMode val="edge"/>
          <c:yMode val="edge"/>
          <c:x val="0.1178110427466301"/>
          <c:y val="2.5458534460791667E-2"/>
        </c:manualLayout>
      </c:layout>
      <c:overlay val="0"/>
      <c:spPr>
        <a:noFill/>
        <a:ln>
          <a:noFill/>
        </a:ln>
        <a:effectLst/>
      </c:spPr>
      <c:txPr>
        <a:bodyPr rot="0" spcFirstLastPara="1" vertOverflow="ellipsis" vert="horz" wrap="square" anchor="ctr" anchorCtr="1"/>
        <a:lstStyle/>
        <a:p>
          <a:pPr>
            <a:defRPr sz="126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4188889254853132"/>
          <c:y val="0.21951074896428066"/>
          <c:w val="0.50527806612218273"/>
          <c:h val="0.78048935643430162"/>
        </c:manualLayout>
      </c:layout>
      <c:pieChart>
        <c:varyColors val="1"/>
        <c:ser>
          <c:idx val="0"/>
          <c:order val="0"/>
          <c:spPr>
            <a:solidFill>
              <a:srgbClr val="0000FF"/>
            </a:solidFill>
          </c:spPr>
          <c:dPt>
            <c:idx val="0"/>
            <c:bubble3D val="0"/>
            <c:spPr>
              <a:solidFill>
                <a:srgbClr val="00B050"/>
              </a:solidFill>
              <a:ln w="19050">
                <a:solidFill>
                  <a:schemeClr val="lt1"/>
                </a:solidFill>
              </a:ln>
              <a:effectLst/>
            </c:spPr>
            <c:extLst>
              <c:ext xmlns:c16="http://schemas.microsoft.com/office/drawing/2014/chart" uri="{C3380CC4-5D6E-409C-BE32-E72D297353CC}">
                <c16:uniqueId val="{00000001-B4F1-4DC8-A245-F9BBDB979449}"/>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B4F1-4DC8-A245-F9BBDB979449}"/>
              </c:ext>
            </c:extLst>
          </c:dPt>
          <c:dPt>
            <c:idx val="2"/>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5-B4F1-4DC8-A245-F9BBDB979449}"/>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B4F1-4DC8-A245-F9BBDB979449}"/>
              </c:ext>
            </c:extLst>
          </c:dPt>
          <c:dPt>
            <c:idx val="4"/>
            <c:bubble3D val="0"/>
            <c:spPr>
              <a:solidFill>
                <a:srgbClr val="0000FF"/>
              </a:solidFill>
              <a:ln w="19050">
                <a:solidFill>
                  <a:schemeClr val="lt1"/>
                </a:solidFill>
              </a:ln>
              <a:effectLst/>
            </c:spPr>
            <c:extLst>
              <c:ext xmlns:c16="http://schemas.microsoft.com/office/drawing/2014/chart" uri="{C3380CC4-5D6E-409C-BE32-E72D297353CC}">
                <c16:uniqueId val="{00000009-B4F1-4DC8-A245-F9BBDB979449}"/>
              </c:ext>
            </c:extLst>
          </c:dPt>
          <c:dLbls>
            <c:dLbl>
              <c:idx val="0"/>
              <c:layout>
                <c:manualLayout>
                  <c:x val="0.15493217474029339"/>
                  <c:y val="4.4734694397572633E-2"/>
                </c:manualLayout>
              </c:layout>
              <c:spPr>
                <a:noFill/>
                <a:ln>
                  <a:solidFill>
                    <a:schemeClr val="tx1"/>
                  </a:solid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4F1-4DC8-A245-F9BBDB979449}"/>
                </c:ext>
              </c:extLst>
            </c:dLbl>
            <c:dLbl>
              <c:idx val="1"/>
              <c:layout>
                <c:manualLayout>
                  <c:x val="0.14531220005266332"/>
                  <c:y val="0.13446771415053868"/>
                </c:manualLayout>
              </c:layout>
              <c:spPr>
                <a:noFill/>
                <a:ln>
                  <a:solidFill>
                    <a:schemeClr val="tx1"/>
                  </a:solid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F1-4DC8-A245-F9BBDB979449}"/>
                </c:ext>
              </c:extLst>
            </c:dLbl>
            <c:dLbl>
              <c:idx val="2"/>
              <c:layout>
                <c:manualLayout>
                  <c:x val="3.2353031113829221E-2"/>
                  <c:y val="6.9372183454805295E-2"/>
                </c:manualLayout>
              </c:layout>
              <c:spPr>
                <a:noFill/>
                <a:ln>
                  <a:solidFill>
                    <a:schemeClr val="tx1"/>
                  </a:solid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4F1-4DC8-A245-F9BBDB979449}"/>
                </c:ext>
              </c:extLst>
            </c:dLbl>
            <c:dLbl>
              <c:idx val="4"/>
              <c:layout>
                <c:manualLayout>
                  <c:x val="0.20521569873257139"/>
                  <c:y val="0.1980839955253469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4F1-4DC8-A245-F9BBDB979449}"/>
                </c:ext>
              </c:extLst>
            </c:dLbl>
            <c:spPr>
              <a:noFill/>
              <a:ln>
                <a:solidFill>
                  <a:schemeClr val="tx1"/>
                </a:solidFill>
              </a:ln>
              <a:effectLst/>
            </c:spPr>
            <c:txPr>
              <a:bodyPr rot="0" spcFirstLastPara="1" vertOverflow="ellipsis" vert="horz" wrap="square" anchor="ctr" anchorCtr="1"/>
              <a:lstStyle/>
              <a:p>
                <a:pPr>
                  <a:defRPr sz="1050" b="1" i="0" u="none" strike="noStrike" kern="1200" baseline="0">
                    <a:solidFill>
                      <a:srgbClr val="FFFF00"/>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Sheet1!$L$8:$L$12</c:f>
              <c:strCache>
                <c:ptCount val="5"/>
                <c:pt idx="0">
                  <c:v>Agricultural</c:v>
                </c:pt>
                <c:pt idx="1">
                  <c:v>Institutional</c:v>
                </c:pt>
                <c:pt idx="2">
                  <c:v>Multi Family</c:v>
                </c:pt>
                <c:pt idx="3">
                  <c:v>Commercial</c:v>
                </c:pt>
                <c:pt idx="4">
                  <c:v>Single Family</c:v>
                </c:pt>
              </c:strCache>
            </c:strRef>
          </c:cat>
          <c:val>
            <c:numRef>
              <c:f>Sheet1!$N$8:$N$12</c:f>
              <c:numCache>
                <c:formatCode>General</c:formatCode>
                <c:ptCount val="5"/>
                <c:pt idx="0">
                  <c:v>1.1494252873563218</c:v>
                </c:pt>
                <c:pt idx="1">
                  <c:v>4.5977011494252871</c:v>
                </c:pt>
                <c:pt idx="2">
                  <c:v>11.494252873563218</c:v>
                </c:pt>
                <c:pt idx="3">
                  <c:v>27.586206896551726</c:v>
                </c:pt>
                <c:pt idx="4">
                  <c:v>55.172413793103452</c:v>
                </c:pt>
              </c:numCache>
            </c:numRef>
          </c:val>
          <c:extLst>
            <c:ext xmlns:c16="http://schemas.microsoft.com/office/drawing/2014/chart" uri="{C3380CC4-5D6E-409C-BE32-E72D297353CC}">
              <c16:uniqueId val="{0000000A-B4F1-4DC8-A245-F9BBDB979449}"/>
            </c:ext>
          </c:extLst>
        </c:ser>
        <c:dLbls>
          <c:showLegendKey val="0"/>
          <c:showVal val="0"/>
          <c:showCatName val="0"/>
          <c:showSerName val="0"/>
          <c:showPercent val="0"/>
          <c:showBubbleSize val="0"/>
          <c:showLeaderLines val="1"/>
        </c:dLbls>
        <c:firstSliceAng val="50"/>
      </c:pieChart>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sz="1050" b="1">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Livingston</cp:lastModifiedBy>
  <cp:revision>4</cp:revision>
  <dcterms:created xsi:type="dcterms:W3CDTF">2024-04-16T13:19:00Z</dcterms:created>
  <dcterms:modified xsi:type="dcterms:W3CDTF">2024-04-16T13:22:00Z</dcterms:modified>
</cp:coreProperties>
</file>